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4E" w:rsidRPr="007B444E" w:rsidRDefault="007B444E" w:rsidP="007B4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Arts in Mental Health Counseling</w:t>
      </w:r>
    </w:p>
    <w:p w:rsidR="007B444E" w:rsidRPr="007B444E" w:rsidRDefault="007B444E" w:rsidP="007B4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 Students who complete the Master of Arts in Clinical Mental Health Counseling will: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Understand professional issues relevant to the practice of counseling and psychology; and demonstrate the ability to apply and adhere to the legal and ethical guidelines of the counseling profession.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Demonstrate knowledge of and appreciation for individual differences and the diversity of social, cultural and environmental influences on human behavior, and apply multicultural competencies in practice.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View human behavior, problems, and concerns from a perspective of human growth and development.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Develop an understanding of career development and related life factors and the effects on an individual’s mental health and lifestyle.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Demonstrate knowledge, skill and multicultural competency related to counseling needs in the clinical mental health setting: etiology, diagnosis, assessment, treatment, and prevention of mental, emotional, and behavioral disorders.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 xml:space="preserve">Demonstrate theoretical and experiential understanding of the principles, issues, and dynamics of group work; and be able </w:t>
      </w:r>
      <w:proofErr w:type="gramStart"/>
      <w:r w:rsidRPr="007B444E">
        <w:rPr>
          <w:rFonts w:ascii="Times New Roman" w:eastAsia="Times New Roman" w:hAnsi="Times New Roman" w:cs="Times New Roman"/>
          <w:sz w:val="24"/>
          <w:szCs w:val="24"/>
        </w:rPr>
        <w:t>to ethically and competently conduct</w:t>
      </w:r>
      <w:proofErr w:type="gramEnd"/>
      <w:r w:rsidRPr="007B444E">
        <w:rPr>
          <w:rFonts w:ascii="Times New Roman" w:eastAsia="Times New Roman" w:hAnsi="Times New Roman" w:cs="Times New Roman"/>
          <w:sz w:val="24"/>
          <w:szCs w:val="24"/>
        </w:rPr>
        <w:t xml:space="preserve"> group counseling.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Be able to accurately interpret, evaluate and contribute to professional research literature, and to guide and evaluate counseling practices through research and program evaluation.</w:t>
      </w:r>
    </w:p>
    <w:p w:rsidR="007B444E" w:rsidRPr="007B444E" w:rsidRDefault="007B444E" w:rsidP="007B4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Demonstrate self-awareness, social and environmental responsibility, and a commitment to services and lifelong learning.</w:t>
      </w:r>
    </w:p>
    <w:p w:rsidR="007B444E" w:rsidRPr="007B444E" w:rsidRDefault="007B444E" w:rsidP="007B4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7B444E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DF7"/>
    <w:multiLevelType w:val="multilevel"/>
    <w:tmpl w:val="993C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4E"/>
    <w:rsid w:val="00310C89"/>
    <w:rsid w:val="003D0B4E"/>
    <w:rsid w:val="007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76061-D595-4670-B71B-F43932F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4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2018-09-22T00:19:00Z</dcterms:created>
  <dcterms:modified xsi:type="dcterms:W3CDTF">2018-09-22T00:58:00Z</dcterms:modified>
</cp:coreProperties>
</file>